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01C1" w14:textId="77777777" w:rsidR="00B67925" w:rsidRPr="00B67925" w:rsidRDefault="00B67925" w:rsidP="00B67925">
      <w:pPr>
        <w:spacing w:after="0" w:line="240" w:lineRule="auto"/>
        <w:ind w:left="7740" w:right="96"/>
        <w:rPr>
          <w:rFonts w:ascii="Times New Roman" w:eastAsia="Times New Roman" w:hAnsi="Times New Roman" w:cs="Times New Roman"/>
          <w:bCs/>
          <w:sz w:val="28"/>
          <w:szCs w:val="28"/>
          <w:lang w:eastAsia="ar-SA"/>
        </w:rPr>
      </w:pPr>
      <w:r w:rsidRPr="00B67925">
        <w:rPr>
          <w:rFonts w:ascii="Times New Roman" w:eastAsia="Times New Roman" w:hAnsi="Times New Roman" w:cs="Times New Roman"/>
          <w:bCs/>
          <w:sz w:val="28"/>
          <w:szCs w:val="28"/>
          <w:lang w:val="ru-RU" w:eastAsia="ar-SA"/>
        </w:rPr>
        <w:t>Додаток 8</w:t>
      </w:r>
    </w:p>
    <w:p w14:paraId="28812C78" w14:textId="77777777" w:rsidR="00B67925" w:rsidRPr="00B67925" w:rsidRDefault="00B67925" w:rsidP="00B67925">
      <w:pPr>
        <w:suppressAutoHyphens w:val="0"/>
        <w:spacing w:after="0" w:line="240" w:lineRule="auto"/>
        <w:ind w:left="7740" w:right="96"/>
        <w:rPr>
          <w:rFonts w:ascii="Times New Roman" w:eastAsia="Times New Roman" w:hAnsi="Times New Roman" w:cs="Times New Roman"/>
          <w:bCs/>
          <w:sz w:val="28"/>
          <w:szCs w:val="28"/>
          <w:lang w:val="ru-RU" w:eastAsia="ar-SA"/>
        </w:rPr>
      </w:pPr>
      <w:r w:rsidRPr="00B67925">
        <w:rPr>
          <w:rFonts w:ascii="Times New Roman" w:eastAsia="Times New Roman" w:hAnsi="Times New Roman" w:cs="Times New Roman"/>
          <w:bCs/>
          <w:sz w:val="28"/>
          <w:szCs w:val="24"/>
          <w:lang w:val="ru-RU" w:eastAsia="ru-RU"/>
        </w:rPr>
        <w:t>до Програми</w:t>
      </w:r>
    </w:p>
    <w:p w14:paraId="7E93CC09" w14:textId="77777777" w:rsidR="00B67925" w:rsidRPr="00B67925" w:rsidRDefault="00B67925" w:rsidP="00B67925">
      <w:pPr>
        <w:pStyle w:val="ac"/>
        <w:spacing w:before="0" w:after="0"/>
        <w:ind w:firstLine="851"/>
        <w:jc w:val="center"/>
        <w:rPr>
          <w:sz w:val="28"/>
          <w:szCs w:val="28"/>
          <w:lang w:val="uk-UA"/>
        </w:rPr>
      </w:pPr>
      <w:r w:rsidRPr="00B67925">
        <w:rPr>
          <w:sz w:val="28"/>
          <w:szCs w:val="28"/>
          <w:lang w:val="uk-UA"/>
        </w:rPr>
        <w:t>ПОРЯДОК</w:t>
      </w:r>
    </w:p>
    <w:p w14:paraId="07076A50" w14:textId="77777777" w:rsidR="00B67925" w:rsidRPr="00B67925" w:rsidRDefault="00B67925" w:rsidP="00B67925">
      <w:pPr>
        <w:pStyle w:val="ac"/>
        <w:spacing w:before="0" w:after="0"/>
        <w:ind w:firstLine="851"/>
        <w:jc w:val="center"/>
        <w:rPr>
          <w:sz w:val="28"/>
          <w:szCs w:val="28"/>
          <w:lang w:val="uk-UA"/>
        </w:rPr>
      </w:pPr>
      <w:r w:rsidRPr="00B67925">
        <w:rPr>
          <w:sz w:val="28"/>
          <w:szCs w:val="28"/>
          <w:lang w:val="uk-UA"/>
        </w:rPr>
        <w:t>використання коштів на відшкодування юридичним особам частини вартості термомодернізації багатоквартирних будинків</w:t>
      </w:r>
    </w:p>
    <w:p w14:paraId="4286280C" w14:textId="77777777" w:rsidR="00B67925" w:rsidRPr="00B67925" w:rsidRDefault="00B67925" w:rsidP="00B67925">
      <w:pPr>
        <w:pStyle w:val="ac"/>
        <w:spacing w:before="0" w:after="0"/>
        <w:ind w:firstLine="851"/>
        <w:jc w:val="center"/>
        <w:rPr>
          <w:sz w:val="28"/>
          <w:szCs w:val="28"/>
          <w:lang w:val="uk-UA"/>
        </w:rPr>
      </w:pPr>
    </w:p>
    <w:p w14:paraId="2FBB3BE9"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1. Загальні положення</w:t>
      </w:r>
    </w:p>
    <w:p w14:paraId="3CF6348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 xml:space="preserve">Цей Порядок визначає механізм використання коштів, передбачених в обласному бюджеті для здійснення відшкодування частини вартості робіт (далі — Відшкодування), що надається юридичним особам (далі — Заявники) — суб’єктам управління/утримання багатоквартирного будинку — для реалізації заходів термомодернізації багатоквартирних будинків (далі — </w:t>
      </w:r>
      <w:proofErr w:type="spellStart"/>
      <w:r w:rsidRPr="00B67925">
        <w:rPr>
          <w:sz w:val="28"/>
          <w:szCs w:val="28"/>
          <w:lang w:val="uk-UA"/>
        </w:rPr>
        <w:t>термомодернізація</w:t>
      </w:r>
      <w:proofErr w:type="spellEnd"/>
      <w:r w:rsidRPr="00B67925">
        <w:rPr>
          <w:sz w:val="28"/>
          <w:szCs w:val="28"/>
          <w:lang w:val="uk-UA"/>
        </w:rPr>
        <w:t>, БКБ).</w:t>
      </w:r>
    </w:p>
    <w:p w14:paraId="4C4A2BE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Метою є підвищення енергоефективності БКБ, зменшення споживання енергоресурсів та витрат на опалення та утримання, поліпшення умов проживання мешканців шляхом реалізації заходів термомодернізації.</w:t>
      </w:r>
    </w:p>
    <w:p w14:paraId="54834FB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Головним розпорядником коштів обласного бюджету на Відшкодування є департамент житлово-комунального господарства та енергоефективності Київської обласної державної адміністрації (Київської обласної військової адміністрації) (далі — Головний розпорядник коштів).</w:t>
      </w:r>
    </w:p>
    <w:p w14:paraId="4C957FD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заяви та отримання результату послуги здійснюється через центри надання адміністративних послуг, територіальні підрозділи та віддалені робочі місця органів місцевого самоврядування (далі — місця подачі).</w:t>
      </w:r>
    </w:p>
    <w:p w14:paraId="1E57021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 xml:space="preserve">Забезпечується можливість подання заяви та отримання результату послуги в електронній формі через </w:t>
      </w:r>
      <w:proofErr w:type="spellStart"/>
      <w:r w:rsidRPr="00B67925">
        <w:rPr>
          <w:sz w:val="28"/>
          <w:szCs w:val="28"/>
          <w:lang w:val="uk-UA"/>
        </w:rPr>
        <w:t>вебпортали</w:t>
      </w:r>
      <w:proofErr w:type="spellEnd"/>
      <w:r w:rsidRPr="00B67925">
        <w:rPr>
          <w:sz w:val="28"/>
          <w:szCs w:val="28"/>
          <w:lang w:val="uk-UA"/>
        </w:rPr>
        <w:t xml:space="preserve"> електронних послуг та інформаційно-комунікаційні системи.</w:t>
      </w:r>
    </w:p>
    <w:p w14:paraId="0AF8577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2. Визначення термінів</w:t>
      </w:r>
    </w:p>
    <w:p w14:paraId="7441518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2.1. У цьому Порядку терміни вживаються у таких значеннях:</w:t>
      </w:r>
    </w:p>
    <w:p w14:paraId="08E11F8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Юридичні особи (Заявники) — юридичні особи, зареєстровані в Україні, які є суб’єктами управління або утримання багатоквартирного будинку (ОСББ, управитель, керуюча організація, балансоутримувач, експлуатуюча організація, комунальне підприємство — залежно від форми управління або утримання) та подали документи згідно з цим Порядком.</w:t>
      </w:r>
    </w:p>
    <w:p w14:paraId="3F8256B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Багатоквартирний будинок (БКБ) — житловий будинок, що складається з двох або більше квартир та має спільне майно співвласників.</w:t>
      </w:r>
    </w:p>
    <w:p w14:paraId="064606A0" w14:textId="77777777" w:rsidR="00B67925" w:rsidRPr="00B67925" w:rsidRDefault="00B67925" w:rsidP="00B67925">
      <w:pPr>
        <w:pStyle w:val="ac"/>
        <w:spacing w:before="0" w:after="0"/>
        <w:ind w:firstLine="851"/>
        <w:jc w:val="both"/>
        <w:rPr>
          <w:sz w:val="28"/>
          <w:szCs w:val="28"/>
          <w:lang w:val="uk-UA"/>
        </w:rPr>
      </w:pPr>
      <w:proofErr w:type="spellStart"/>
      <w:r w:rsidRPr="00B67925">
        <w:rPr>
          <w:sz w:val="28"/>
          <w:szCs w:val="28"/>
          <w:lang w:val="uk-UA"/>
        </w:rPr>
        <w:t>Термомодернізація</w:t>
      </w:r>
      <w:proofErr w:type="spellEnd"/>
      <w:r w:rsidRPr="00B67925">
        <w:rPr>
          <w:sz w:val="28"/>
          <w:szCs w:val="28"/>
          <w:lang w:val="uk-UA"/>
        </w:rPr>
        <w:t xml:space="preserve"> — комплекс заходів, спрямованих на підвищення енергоефективності БКБ та/або його спільного майна, зменшення втрат теплової енергії та/або споживання енергоресурсів.</w:t>
      </w:r>
    </w:p>
    <w:p w14:paraId="4778CE9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Заходи термомодернізації — роботи та/або придбання матеріалів, пов’язані з підвищенням енергоефективності БКБ, зокрема (без встановлення вичерпного переліку): утеплення огороджувальних конструкцій (фасадів, покрівель, горищ/</w:t>
      </w:r>
      <w:proofErr w:type="spellStart"/>
      <w:r w:rsidRPr="00B67925">
        <w:rPr>
          <w:sz w:val="28"/>
          <w:szCs w:val="28"/>
          <w:lang w:val="uk-UA"/>
        </w:rPr>
        <w:t>перекриттів</w:t>
      </w:r>
      <w:proofErr w:type="spellEnd"/>
      <w:r w:rsidRPr="00B67925">
        <w:rPr>
          <w:sz w:val="28"/>
          <w:szCs w:val="28"/>
          <w:lang w:val="uk-UA"/>
        </w:rPr>
        <w:t>, підвалів), заміна/модернізація елементів спільного майна, що впливають на енергоефективність, модернізація/балансування внутрішньобудинкових систем, встановлення/модернізація вузлів/обладнання спільного майна, що забезпечують ефективне використання енергії.</w:t>
      </w:r>
    </w:p>
    <w:p w14:paraId="00994B2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Відшкодування — сума коштів, наданих з обласного бюджету юридичним особам для компенсації частини вартості реалізованих заходів термомодернізації БКБ.</w:t>
      </w:r>
    </w:p>
    <w:p w14:paraId="13E3B1D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Прийнятні витрати — вартість робіт та/або матеріалів за заходами термомодернізації, підтверджена первинними документами (у тому числі договорами, актами виконаних робіт, накладними, платіжними документами та/або іншими документами, що підтверджують оплату та виконання робіт/постачання матеріалів), із реквізитами виконавця робіт/постачальника.</w:t>
      </w:r>
    </w:p>
    <w:p w14:paraId="21295254"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 Порядок подання та розгляду документів для одержання відшкодування</w:t>
      </w:r>
    </w:p>
    <w:p w14:paraId="494836B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 Відшкодування надається у вигляді фінансової допомоги з обласного бюджету на безповоротній основі для компенсації частини вартості заходів термомодернізації.</w:t>
      </w:r>
    </w:p>
    <w:p w14:paraId="72681D0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3.2. Юридична особа може отримати Відшкодування лише один раз за одним БКБ за однією заявою.</w:t>
      </w:r>
    </w:p>
    <w:p w14:paraId="1F2D7D9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3.3. Відшкодування за реалізовані заходи термомодернізації здійснюється за заявами у такому розмірі: 30 відсотків від суми прийнятних витрат, але не більше 300 000 (трьохсот тисяч) гривень.</w:t>
      </w:r>
    </w:p>
    <w:p w14:paraId="2F37D59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3.4. Відшкодування надається юридичній особі — суб’єкту управління або утримання БКБ.</w:t>
      </w:r>
    </w:p>
    <w:p w14:paraId="0C0A8DA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3.5 Для включення до Зведеного реєстру та отримання Відшкодування юридична особа здійснює подання заяви через центри надання адміністративних послуг, територіальні підрозділи та віддалені робочі місця органів місцевого самоврядування та подає наступний пакет документів:</w:t>
      </w:r>
    </w:p>
    <w:p w14:paraId="0BE8FA3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Заява на отримання Відшкодування за реалізовані заходи термомодернізації із зазначенням банківських реквізитів (IBAN) Заявника;</w:t>
      </w:r>
    </w:p>
    <w:p w14:paraId="03D2D7F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 що підтверджує реквізити рахунку Заявника;</w:t>
      </w:r>
    </w:p>
    <w:p w14:paraId="4AB3A7A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Установчі та реєстраційні документи юридичної особи та документ, що підтверджує повноваження керівника або уповноваженої особи на підписання заяви та подання документів;</w:t>
      </w:r>
    </w:p>
    <w:p w14:paraId="6933566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Документ(и), що підтверджує(</w:t>
      </w:r>
      <w:proofErr w:type="spellStart"/>
      <w:r w:rsidRPr="00B67925">
        <w:rPr>
          <w:sz w:val="28"/>
          <w:szCs w:val="28"/>
          <w:lang w:val="uk-UA"/>
        </w:rPr>
        <w:t>ють</w:t>
      </w:r>
      <w:proofErr w:type="spellEnd"/>
      <w:r w:rsidRPr="00B67925">
        <w:rPr>
          <w:sz w:val="28"/>
          <w:szCs w:val="28"/>
          <w:lang w:val="uk-UA"/>
        </w:rPr>
        <w:t>) статус Заявника як суб’єкта управління або утримання БКБ;</w:t>
      </w:r>
    </w:p>
    <w:p w14:paraId="7185C79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 xml:space="preserve">Належним чином завірені копії первинних документів, що підтверджують прийнятні витрати на </w:t>
      </w:r>
      <w:proofErr w:type="spellStart"/>
      <w:r w:rsidRPr="00B67925">
        <w:rPr>
          <w:sz w:val="28"/>
          <w:szCs w:val="28"/>
          <w:lang w:val="uk-UA"/>
        </w:rPr>
        <w:t>термомодернізацію</w:t>
      </w:r>
      <w:proofErr w:type="spellEnd"/>
      <w:r w:rsidRPr="00B67925">
        <w:rPr>
          <w:sz w:val="28"/>
          <w:szCs w:val="28"/>
          <w:lang w:val="uk-UA"/>
        </w:rPr>
        <w:t xml:space="preserve"> (договори, акти виконаних робіт, накладні, платіжні документи та/або інші документи);</w:t>
      </w:r>
    </w:p>
    <w:p w14:paraId="3446CB7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Документи, що підтверджують виконання заходів термомодернізації (акти приймання/приймання-передачі виконаних робіт, за наявності — фотофіксація «до/після»);</w:t>
      </w:r>
    </w:p>
    <w:p w14:paraId="1AF8656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За наявності — інші матеріали, що підтверджують обсяг робіт/готовність/результат виконання заходів термомодернізації.</w:t>
      </w:r>
    </w:p>
    <w:p w14:paraId="4656093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 xml:space="preserve">Забезпечується можливість подання заяви та отримання результату послуги в електронній формі через </w:t>
      </w:r>
      <w:proofErr w:type="spellStart"/>
      <w:r w:rsidRPr="00B67925">
        <w:rPr>
          <w:sz w:val="28"/>
          <w:szCs w:val="28"/>
          <w:lang w:val="uk-UA"/>
        </w:rPr>
        <w:t>вебпортали</w:t>
      </w:r>
      <w:proofErr w:type="spellEnd"/>
      <w:r w:rsidRPr="00B67925">
        <w:rPr>
          <w:sz w:val="28"/>
          <w:szCs w:val="28"/>
          <w:lang w:val="uk-UA"/>
        </w:rPr>
        <w:t xml:space="preserve"> електронних послуг та інформаційно-комунікаційні системи.</w:t>
      </w:r>
    </w:p>
    <w:p w14:paraId="6DAC47B0"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3.6. Розгляд поданих документів та прийняття рішення щодо наявності права на Відшкодування здійснюється комісією, утвореною при відповідній РДА (далі — Комісія РДА).</w:t>
      </w:r>
    </w:p>
    <w:p w14:paraId="05471A6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До складу Комісії РДА включаються, зокрема, заступники голів територіальних громад та керівники структурних підрозділів територіальних громад, відповідальні за напрям житлово-комунального господарства (ЖКХ).</w:t>
      </w:r>
    </w:p>
    <w:p w14:paraId="13CDD29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Погодження зведеного переліку Заявників, сформованого на підставі списків, поданих РДА, здійснюється Комісією, яка створена головою обласної державної адміністрації — начальником обласної військової адміністрації (далі — Комісія).</w:t>
      </w:r>
    </w:p>
    <w:p w14:paraId="5A14C285"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3.7. За результатами розгляду Комісією РДА:</w:t>
      </w:r>
    </w:p>
    <w:p w14:paraId="6977561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формується список юридичних осіб, які мають право на Відшкодування, із реквізитами, необхідними для включення до Зведеного реєстру;</w:t>
      </w:r>
    </w:p>
    <w:p w14:paraId="222E67C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список подається до обласної державної адміністрації (обласної військової адміністрації) для подальшого опрацювання Головним розпорядником коштів.</w:t>
      </w:r>
    </w:p>
    <w:p w14:paraId="69510D3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Формування Зведеного реєстру на підставі списків, поданих РДА, здійснюється Головним розпорядником коштів, після чого Зведений реєстр/перелік подається на погодження Комісії.</w:t>
      </w:r>
    </w:p>
    <w:p w14:paraId="65741C51"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3.8. Комісія РДА проводить засідання та шляхом голосування більшістю голосів приймає рішення щодо:</w:t>
      </w:r>
    </w:p>
    <w:p w14:paraId="326F318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включення юридичної особи до списку осіб, які мають право на Відшкодування або відмови у включенні до такого списку із зазначенням підстав.</w:t>
      </w:r>
    </w:p>
    <w:p w14:paraId="6ECB192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Комісія проводить засідання та шляхом голосування більшістю голосів приймає рішення щодо погодження зведеного переліку юридичних осіб, яким буде надано Відшкодування, сформованого Головним розпорядником коштів на підставі списків РДА.</w:t>
      </w:r>
    </w:p>
    <w:p w14:paraId="0090A73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Строк розгляду заяви та прийняття рішення Комісією РДА не перевищує 10 робочих днів з дати реєстрації заяви у місці подачі.</w:t>
      </w:r>
    </w:p>
    <w:p w14:paraId="486CA04F"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Підставами для відмови у наданні Відшкодування є:</w:t>
      </w:r>
    </w:p>
    <w:p w14:paraId="0A4EC5AE"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неповного пакета документів;</w:t>
      </w:r>
    </w:p>
    <w:p w14:paraId="0B024E06"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невідповідність Заявника вимогам цього Порядку;</w:t>
      </w:r>
    </w:p>
    <w:p w14:paraId="7277FD4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відсутність первинних документів, що підтверджують прийнятні витрати та/або виконання робіт/постачання матеріалів за заходами термомодернізації;</w:t>
      </w:r>
    </w:p>
    <w:p w14:paraId="003CFA2C"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подання недостовірних відомостей;</w:t>
      </w:r>
    </w:p>
    <w:p w14:paraId="3E5607E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отримання Відшкодування за цим Порядком раніше.</w:t>
      </w:r>
    </w:p>
    <w:p w14:paraId="05792EC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Рішення Комісії РДА та рішення Комісії оформлюються протоколами.</w:t>
      </w:r>
    </w:p>
    <w:p w14:paraId="1504BA67"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3.9. За повноту і достовірність відомостей у поданих документах відповідає Заявник.</w:t>
      </w:r>
    </w:p>
    <w:p w14:paraId="716FABAD"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3.10. Відшкодування здійснюватиметься за рахунок коштів обласного бюджету у межах наявних бюджетних призначень.</w:t>
      </w:r>
    </w:p>
    <w:p w14:paraId="6419F6C5"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Відшкодування нараховується виключно на суму прийнятних витрат.</w:t>
      </w:r>
    </w:p>
    <w:p w14:paraId="531CC53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lastRenderedPageBreak/>
        <w:t>3.11. Заявник позбавляється права на Відшкодування у разі виявлення порушення вимог цього Порядку або надання недостовірної інформації. У такому разі Заявник зобов’язаний повернути отриману суму Відшкодування.</w:t>
      </w:r>
    </w:p>
    <w:p w14:paraId="11C60302"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3.12.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(Зведеного реєстру), сформованого Головним розпорядником коштів.</w:t>
      </w:r>
    </w:p>
    <w:p w14:paraId="746E102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3.13. Якщо сума коштів на Відшкодування перевищує обсяг фінансування, кошти надаються у порядку черговості надходження та реєстрації заяв у місці подачі.</w:t>
      </w:r>
    </w:p>
    <w:p w14:paraId="3D6EC3B8"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3.14 Розгляд заяв та включення до списків, а також надання Відшкодування здійснюються у порядку черговості, визначеному пунктом 3.13 цього Порядку.</w:t>
      </w:r>
    </w:p>
    <w:p w14:paraId="5D5746FA" w14:textId="77777777" w:rsidR="00B67925" w:rsidRPr="00B67925" w:rsidRDefault="00B67925" w:rsidP="00B67925">
      <w:pPr>
        <w:pStyle w:val="ac"/>
        <w:spacing w:before="0" w:after="0"/>
        <w:ind w:firstLine="851"/>
        <w:jc w:val="both"/>
        <w:rPr>
          <w:sz w:val="28"/>
          <w:szCs w:val="28"/>
          <w:lang w:val="uk-UA"/>
        </w:rPr>
      </w:pPr>
      <w:r w:rsidRPr="00B67925">
        <w:rPr>
          <w:sz w:val="28"/>
          <w:szCs w:val="28"/>
          <w:lang w:val="uk-UA"/>
        </w:rPr>
        <w:t>4. Складання та подання фінансової звітності про використання бюджетних коштів здійснюється в установленому законодавством порядку.</w:t>
      </w:r>
    </w:p>
    <w:p w14:paraId="42588E7D" w14:textId="77777777" w:rsidR="00AB6866" w:rsidRPr="00B67925" w:rsidRDefault="00AB6866"/>
    <w:sectPr w:rsidR="00AB6866" w:rsidRPr="00B67925" w:rsidSect="00B67925">
      <w:headerReference w:type="default" r:id="rId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609B" w14:textId="77777777" w:rsidR="00C3282B" w:rsidRDefault="00C3282B" w:rsidP="00B67925">
      <w:pPr>
        <w:spacing w:after="0" w:line="240" w:lineRule="auto"/>
      </w:pPr>
      <w:r>
        <w:separator/>
      </w:r>
    </w:p>
  </w:endnote>
  <w:endnote w:type="continuationSeparator" w:id="0">
    <w:p w14:paraId="581913E0" w14:textId="77777777" w:rsidR="00C3282B" w:rsidRDefault="00C3282B" w:rsidP="00B6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9E04" w14:textId="77777777" w:rsidR="00C3282B" w:rsidRDefault="00C3282B" w:rsidP="00B67925">
      <w:pPr>
        <w:spacing w:after="0" w:line="240" w:lineRule="auto"/>
      </w:pPr>
      <w:r>
        <w:separator/>
      </w:r>
    </w:p>
  </w:footnote>
  <w:footnote w:type="continuationSeparator" w:id="0">
    <w:p w14:paraId="61129941" w14:textId="77777777" w:rsidR="00C3282B" w:rsidRDefault="00C3282B" w:rsidP="00B6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359309"/>
      <w:docPartObj>
        <w:docPartGallery w:val="Page Numbers (Top of Page)"/>
        <w:docPartUnique/>
      </w:docPartObj>
    </w:sdtPr>
    <w:sdtContent>
      <w:p w14:paraId="3803A0A8" w14:textId="21F28C2E" w:rsidR="00B67925" w:rsidRDefault="00B67925">
        <w:pPr>
          <w:pStyle w:val="ad"/>
          <w:jc w:val="center"/>
        </w:pPr>
        <w:r>
          <w:fldChar w:fldCharType="begin"/>
        </w:r>
        <w:r>
          <w:instrText>PAGE   \* MERGEFORMAT</w:instrText>
        </w:r>
        <w:r>
          <w:fldChar w:fldCharType="separate"/>
        </w:r>
        <w:r>
          <w:rPr>
            <w:lang w:val="ru-RU"/>
          </w:rPr>
          <w:t>2</w:t>
        </w:r>
        <w:r>
          <w:fldChar w:fldCharType="end"/>
        </w:r>
      </w:p>
    </w:sdtContent>
  </w:sdt>
  <w:p w14:paraId="73DF66CE" w14:textId="77777777" w:rsidR="00B67925" w:rsidRDefault="00B6792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25"/>
    <w:rsid w:val="000E3105"/>
    <w:rsid w:val="00162701"/>
    <w:rsid w:val="001A1A96"/>
    <w:rsid w:val="00333D7D"/>
    <w:rsid w:val="003512DA"/>
    <w:rsid w:val="004A0B27"/>
    <w:rsid w:val="00652894"/>
    <w:rsid w:val="00842275"/>
    <w:rsid w:val="00AB6866"/>
    <w:rsid w:val="00B1759E"/>
    <w:rsid w:val="00B67925"/>
    <w:rsid w:val="00C3282B"/>
    <w:rsid w:val="00E56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28E6"/>
  <w15:chartTrackingRefBased/>
  <w15:docId w15:val="{A5C974CB-1B1E-47A8-882A-2089F000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25"/>
    <w:pPr>
      <w:suppressAutoHyphens/>
      <w:spacing w:after="200" w:line="276" w:lineRule="auto"/>
    </w:pPr>
    <w:rPr>
      <w:rFonts w:ascii="Calibri" w:hAnsi="Calibri" w:cs="Calibri"/>
      <w:kern w:val="0"/>
      <w:lang w:eastAsia="zh-CN"/>
    </w:rPr>
  </w:style>
  <w:style w:type="paragraph" w:styleId="1">
    <w:name w:val="heading 1"/>
    <w:basedOn w:val="a"/>
    <w:next w:val="a"/>
    <w:link w:val="10"/>
    <w:uiPriority w:val="9"/>
    <w:qFormat/>
    <w:rsid w:val="00B67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7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92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679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6792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679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6792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6792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6792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925"/>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B67925"/>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B67925"/>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B67925"/>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B67925"/>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B67925"/>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B67925"/>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B67925"/>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B67925"/>
    <w:rPr>
      <w:rFonts w:eastAsiaTheme="majorEastAsia" w:cstheme="majorBidi"/>
      <w:color w:val="272727" w:themeColor="text1" w:themeTint="D8"/>
      <w:kern w:val="0"/>
      <w:sz w:val="28"/>
    </w:rPr>
  </w:style>
  <w:style w:type="paragraph" w:styleId="a3">
    <w:name w:val="Title"/>
    <w:basedOn w:val="a"/>
    <w:next w:val="a"/>
    <w:link w:val="a4"/>
    <w:uiPriority w:val="10"/>
    <w:qFormat/>
    <w:rsid w:val="00B67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7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92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67925"/>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B67925"/>
    <w:pPr>
      <w:spacing w:before="160" w:after="160"/>
      <w:jc w:val="center"/>
    </w:pPr>
    <w:rPr>
      <w:i/>
      <w:iCs/>
      <w:color w:val="404040" w:themeColor="text1" w:themeTint="BF"/>
    </w:rPr>
  </w:style>
  <w:style w:type="character" w:customStyle="1" w:styleId="22">
    <w:name w:val="Цитата 2 Знак"/>
    <w:basedOn w:val="a0"/>
    <w:link w:val="21"/>
    <w:uiPriority w:val="29"/>
    <w:rsid w:val="00B67925"/>
    <w:rPr>
      <w:rFonts w:ascii="Times New Roman" w:hAnsi="Times New Roman" w:cs="Times New Roman"/>
      <w:i/>
      <w:iCs/>
      <w:color w:val="404040" w:themeColor="text1" w:themeTint="BF"/>
      <w:kern w:val="0"/>
      <w:sz w:val="28"/>
    </w:rPr>
  </w:style>
  <w:style w:type="paragraph" w:styleId="a7">
    <w:name w:val="List Paragraph"/>
    <w:basedOn w:val="a"/>
    <w:uiPriority w:val="34"/>
    <w:qFormat/>
    <w:rsid w:val="00B67925"/>
    <w:pPr>
      <w:ind w:left="720"/>
      <w:contextualSpacing/>
    </w:pPr>
  </w:style>
  <w:style w:type="character" w:styleId="a8">
    <w:name w:val="Intense Emphasis"/>
    <w:basedOn w:val="a0"/>
    <w:uiPriority w:val="21"/>
    <w:qFormat/>
    <w:rsid w:val="00B67925"/>
    <w:rPr>
      <w:i/>
      <w:iCs/>
      <w:color w:val="2F5496" w:themeColor="accent1" w:themeShade="BF"/>
    </w:rPr>
  </w:style>
  <w:style w:type="paragraph" w:styleId="a9">
    <w:name w:val="Intense Quote"/>
    <w:basedOn w:val="a"/>
    <w:next w:val="a"/>
    <w:link w:val="aa"/>
    <w:uiPriority w:val="30"/>
    <w:qFormat/>
    <w:rsid w:val="00B67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925"/>
    <w:rPr>
      <w:rFonts w:ascii="Times New Roman" w:hAnsi="Times New Roman" w:cs="Times New Roman"/>
      <w:i/>
      <w:iCs/>
      <w:color w:val="2F5496" w:themeColor="accent1" w:themeShade="BF"/>
      <w:kern w:val="0"/>
      <w:sz w:val="28"/>
    </w:rPr>
  </w:style>
  <w:style w:type="character" w:styleId="ab">
    <w:name w:val="Intense Reference"/>
    <w:basedOn w:val="a0"/>
    <w:uiPriority w:val="32"/>
    <w:qFormat/>
    <w:rsid w:val="00B67925"/>
    <w:rPr>
      <w:b/>
      <w:bCs/>
      <w:smallCaps/>
      <w:color w:val="2F5496" w:themeColor="accent1" w:themeShade="BF"/>
      <w:spacing w:val="5"/>
    </w:rPr>
  </w:style>
  <w:style w:type="paragraph" w:styleId="ac">
    <w:name w:val="Normal (Web)"/>
    <w:basedOn w:val="a"/>
    <w:uiPriority w:val="99"/>
    <w:rsid w:val="00B67925"/>
    <w:pPr>
      <w:spacing w:before="280" w:after="280" w:line="240" w:lineRule="auto"/>
    </w:pPr>
    <w:rPr>
      <w:rFonts w:ascii="Times New Roman" w:eastAsia="Times New Roman" w:hAnsi="Times New Roman" w:cs="Times New Roman"/>
      <w:sz w:val="24"/>
      <w:szCs w:val="24"/>
      <w:lang w:val="ru-RU"/>
    </w:rPr>
  </w:style>
  <w:style w:type="paragraph" w:styleId="ad">
    <w:name w:val="header"/>
    <w:basedOn w:val="a"/>
    <w:link w:val="ae"/>
    <w:uiPriority w:val="99"/>
    <w:unhideWhenUsed/>
    <w:rsid w:val="00B6792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B67925"/>
    <w:rPr>
      <w:rFonts w:ascii="Calibri" w:hAnsi="Calibri" w:cs="Calibri"/>
      <w:kern w:val="0"/>
      <w:lang w:eastAsia="zh-CN"/>
    </w:rPr>
  </w:style>
  <w:style w:type="paragraph" w:styleId="af">
    <w:name w:val="footer"/>
    <w:basedOn w:val="a"/>
    <w:link w:val="af0"/>
    <w:uiPriority w:val="99"/>
    <w:unhideWhenUsed/>
    <w:rsid w:val="00B6792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67925"/>
    <w:rPr>
      <w:rFonts w:ascii="Calibri" w:hAnsi="Calibri" w:cs="Calibr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5291</Words>
  <Characters>3017</Characters>
  <Application>Microsoft Office Word</Application>
  <DocSecurity>0</DocSecurity>
  <Lines>25</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Kipenko</dc:creator>
  <cp:keywords/>
  <dc:description/>
  <cp:lastModifiedBy>Mykhailo Kipenko</cp:lastModifiedBy>
  <cp:revision>1</cp:revision>
  <dcterms:created xsi:type="dcterms:W3CDTF">2026-03-09T10:30:00Z</dcterms:created>
  <dcterms:modified xsi:type="dcterms:W3CDTF">2026-03-09T10:31:00Z</dcterms:modified>
</cp:coreProperties>
</file>