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3ACA" w14:textId="77777777" w:rsidR="006E2802" w:rsidRPr="006E2802" w:rsidRDefault="006E2802" w:rsidP="006E2802">
      <w:pPr>
        <w:spacing w:after="0" w:line="240" w:lineRule="auto"/>
        <w:ind w:left="7740" w:right="96"/>
        <w:rPr>
          <w:rFonts w:ascii="Times New Roman" w:eastAsia="Times New Roman" w:hAnsi="Times New Roman" w:cs="Times New Roman"/>
          <w:bCs/>
          <w:sz w:val="28"/>
          <w:szCs w:val="28"/>
          <w:lang w:eastAsia="ar-SA"/>
        </w:rPr>
      </w:pPr>
      <w:r w:rsidRPr="006E2802">
        <w:rPr>
          <w:rFonts w:ascii="Times New Roman" w:eastAsia="Times New Roman" w:hAnsi="Times New Roman" w:cs="Times New Roman"/>
          <w:bCs/>
          <w:sz w:val="28"/>
          <w:szCs w:val="28"/>
          <w:lang w:val="ru-RU" w:eastAsia="ar-SA"/>
        </w:rPr>
        <w:t>Додаток 10</w:t>
      </w:r>
    </w:p>
    <w:p w14:paraId="049B4CB9" w14:textId="77777777" w:rsidR="006E2802" w:rsidRPr="006E2802" w:rsidRDefault="006E2802" w:rsidP="006E2802">
      <w:pPr>
        <w:suppressAutoHyphens w:val="0"/>
        <w:spacing w:after="0" w:line="240" w:lineRule="auto"/>
        <w:ind w:left="7740" w:right="96"/>
        <w:rPr>
          <w:rFonts w:ascii="Times New Roman" w:eastAsia="Times New Roman" w:hAnsi="Times New Roman" w:cs="Times New Roman"/>
          <w:bCs/>
          <w:sz w:val="28"/>
          <w:szCs w:val="28"/>
          <w:lang w:val="ru-RU" w:eastAsia="ar-SA"/>
        </w:rPr>
      </w:pPr>
      <w:r w:rsidRPr="006E2802">
        <w:rPr>
          <w:rFonts w:ascii="Times New Roman" w:eastAsia="Times New Roman" w:hAnsi="Times New Roman" w:cs="Times New Roman"/>
          <w:bCs/>
          <w:sz w:val="28"/>
          <w:szCs w:val="24"/>
          <w:lang w:val="ru-RU" w:eastAsia="ru-RU"/>
        </w:rPr>
        <w:t>до Програми</w:t>
      </w:r>
    </w:p>
    <w:p w14:paraId="54DB1A11" w14:textId="77777777" w:rsidR="006E2802" w:rsidRPr="006E2802" w:rsidRDefault="006E2802" w:rsidP="006E2802">
      <w:pPr>
        <w:pStyle w:val="ac"/>
        <w:spacing w:before="0" w:after="0"/>
        <w:ind w:firstLine="851"/>
        <w:jc w:val="center"/>
        <w:rPr>
          <w:sz w:val="28"/>
          <w:szCs w:val="28"/>
          <w:lang w:val="uk-UA"/>
        </w:rPr>
      </w:pPr>
      <w:r w:rsidRPr="006E2802">
        <w:rPr>
          <w:sz w:val="28"/>
          <w:szCs w:val="28"/>
          <w:lang w:val="uk-UA"/>
        </w:rPr>
        <w:t>ПОРЯДОК</w:t>
      </w:r>
    </w:p>
    <w:p w14:paraId="7483D53D" w14:textId="77777777" w:rsidR="006E2802" w:rsidRPr="006E2802" w:rsidRDefault="006E2802" w:rsidP="006E2802">
      <w:pPr>
        <w:pStyle w:val="ac"/>
        <w:spacing w:before="0" w:after="0"/>
        <w:ind w:firstLine="851"/>
        <w:jc w:val="center"/>
        <w:rPr>
          <w:sz w:val="28"/>
          <w:szCs w:val="28"/>
          <w:lang w:val="uk-UA"/>
        </w:rPr>
      </w:pPr>
      <w:r w:rsidRPr="006E2802">
        <w:rPr>
          <w:sz w:val="28"/>
          <w:szCs w:val="28"/>
          <w:lang w:val="uk-UA"/>
        </w:rPr>
        <w:t>використання коштів на відшкодування юридичним особам частини вартості придбаних та встановлених генераторів для забезпечення резервного електроживлення багатоквартирних будинків</w:t>
      </w:r>
    </w:p>
    <w:p w14:paraId="009887EA" w14:textId="77777777" w:rsidR="006E2802" w:rsidRPr="006E2802" w:rsidRDefault="006E2802" w:rsidP="006E2802">
      <w:pPr>
        <w:pStyle w:val="ac"/>
        <w:spacing w:before="0" w:after="0"/>
        <w:ind w:firstLine="851"/>
        <w:jc w:val="center"/>
        <w:rPr>
          <w:sz w:val="28"/>
          <w:szCs w:val="28"/>
          <w:lang w:val="uk-UA"/>
        </w:rPr>
      </w:pPr>
    </w:p>
    <w:p w14:paraId="76A2CE22"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1. Загальні положення</w:t>
      </w:r>
    </w:p>
    <w:p w14:paraId="5ECADC0C"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Цей Порядок визначає механізм використання коштів, передбачених в обласному бюджеті для здійснення відшкодування частини вартості обладнання (далі — Відшкодування), що надається юридичним особам (далі — Заявники) — суб’єктам управління/утримання багатоквартирного будинку — за придбання та встановлення генераторів для забезпечення резервного електроживлення багатоквартирних будинків (далі — БКБ).</w:t>
      </w:r>
    </w:p>
    <w:p w14:paraId="27689ABE"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Метою є підвищення енергетичної стійкості та забезпечення належних умов життєдіяльності мешканців БКБ шляхом створення резервного електроживлення спільного майна та/або інженерних систем БКБ.</w:t>
      </w:r>
    </w:p>
    <w:p w14:paraId="73053174"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Головним розпорядником коштів обласного бюджету на Відшкодування є департамент житлово-комунального господарства та енергоефективності Київської обласної державної адміністрації (Київської обласної військової адміністрації) (далі — Головний розпорядник коштів).</w:t>
      </w:r>
    </w:p>
    <w:p w14:paraId="29472574"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Подання заяви та отримання результату послуги здійснюється через центри надання адміністративних послуг, територіальні підрозділи та віддалені робочі місця органів місцевого самоврядування (далі — місця подачі).</w:t>
      </w:r>
    </w:p>
    <w:p w14:paraId="2974A5CA"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 xml:space="preserve">Забезпечується можливість подання заяви та отримання результату послуги в електронній формі через </w:t>
      </w:r>
      <w:proofErr w:type="spellStart"/>
      <w:r w:rsidRPr="006E2802">
        <w:rPr>
          <w:sz w:val="28"/>
          <w:szCs w:val="28"/>
          <w:lang w:val="uk-UA"/>
        </w:rPr>
        <w:t>вебпортали</w:t>
      </w:r>
      <w:proofErr w:type="spellEnd"/>
      <w:r w:rsidRPr="006E2802">
        <w:rPr>
          <w:sz w:val="28"/>
          <w:szCs w:val="28"/>
          <w:lang w:val="uk-UA"/>
        </w:rPr>
        <w:t xml:space="preserve"> електронних послуг та інформаційно-комунікаційні системи.</w:t>
      </w:r>
    </w:p>
    <w:p w14:paraId="7B08F744"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2. Визначення термінів</w:t>
      </w:r>
    </w:p>
    <w:p w14:paraId="2202F772"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2.1. У цьому Порядку терміни вживаються у таких значеннях:</w:t>
      </w:r>
    </w:p>
    <w:p w14:paraId="66DBA11C"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Юридичні особи (Заявники) — юридичні особи, зареєстровані в Україні, які є суб’єктами управління або утримання багатоквартирного будинку (ОСББ, управитель, керуюча організація, балансоутримувач, експлуатуюча організація, комунальне підприємство — залежно від форми управління або утримання) та подали документи згідно з цим Порядком.</w:t>
      </w:r>
    </w:p>
    <w:p w14:paraId="12C0A111"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Багатоквартирний будинок (БКБ) — житловий будинок, що складається з двох або більше квартир та має спільне майно співвласників.</w:t>
      </w:r>
    </w:p>
    <w:p w14:paraId="02EFC041"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Генератор — автономне обладнання для виробництва електричної енергії, що використовується для резервного електроживлення БКБ та/або його інженерних систем.</w:t>
      </w:r>
    </w:p>
    <w:p w14:paraId="42AF1E22"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Відшкодування — сума коштів, наданих з обласного бюджету юридичним особам для компенсації частини вартості придбаного та встановленого генератора.</w:t>
      </w:r>
    </w:p>
    <w:p w14:paraId="5323D1C0"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 xml:space="preserve">Прийнятні витрати — вартість генератора, підтверджена первинними документами (у тому числі документами, що підтверджують оплату та поставку) із реквізитами продавця/постачальника; а також, за наявності та у разі документального підтвердження, вартість робіт з монтажу, встановлення, </w:t>
      </w:r>
      <w:proofErr w:type="spellStart"/>
      <w:r w:rsidRPr="006E2802">
        <w:rPr>
          <w:sz w:val="28"/>
          <w:szCs w:val="28"/>
          <w:lang w:val="uk-UA"/>
        </w:rPr>
        <w:t>пусконалагодження</w:t>
      </w:r>
      <w:proofErr w:type="spellEnd"/>
      <w:r w:rsidRPr="006E2802">
        <w:rPr>
          <w:sz w:val="28"/>
          <w:szCs w:val="28"/>
          <w:lang w:val="uk-UA"/>
        </w:rPr>
        <w:t xml:space="preserve"> генератора.</w:t>
      </w:r>
    </w:p>
    <w:p w14:paraId="2032839A"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lastRenderedPageBreak/>
        <w:t>3. Порядок подання та розгляду документів для одержання відшкодування</w:t>
      </w:r>
    </w:p>
    <w:p w14:paraId="4CEF5E0C"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3.1. Відшкодування надається у вигляді фінансової допомоги з обласного бюджету на безповоротній основі для компенсації частини вартості генератора.</w:t>
      </w:r>
    </w:p>
    <w:p w14:paraId="15F7C78E"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3.2. Юридична особа може отримати Відшкодування лише один раз за одним БКБ за однією заявою.</w:t>
      </w:r>
    </w:p>
    <w:p w14:paraId="5DAF5A37"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3.3. Відшкодування за придбаний та встановлений генератор здійснюється за заявами у такому розмірі: 30 відсотків від суми прийнятних витрат, але не більше 100 000 (ста тисяч) гривень.</w:t>
      </w:r>
    </w:p>
    <w:p w14:paraId="2B24E2B3"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3.4. Відшкодування надається юридичній особі — суб’єкту управління або утримання БКБ.</w:t>
      </w:r>
    </w:p>
    <w:p w14:paraId="4119A406"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3.5 Для включення до Зведеного реєстру та отримання Відшкодування юридична особа здійснює подання заяви через центри надання адміністративних послуг, територіальні підрозділи та віддалені робочі місця органів місцевого самоврядування та подає наступний пакет документів:</w:t>
      </w:r>
    </w:p>
    <w:p w14:paraId="0FB66076"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Заява на отримання Відшкодування за придбаний та/або встановлений генератор із зазначенням банківських реквізитів (IBAN) Заявника;</w:t>
      </w:r>
    </w:p>
    <w:p w14:paraId="629F4005"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Документ, що підтверджує реквізити рахунку Заявника;</w:t>
      </w:r>
    </w:p>
    <w:p w14:paraId="1267DFA7"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Установчі та реєстраційні документи юридичної особи та документ, що підтверджує повноваження керівника або уповноваженої особи на підписання заяви та подання документів;</w:t>
      </w:r>
    </w:p>
    <w:p w14:paraId="35FBC95C"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Документ(и), що підтверджує(</w:t>
      </w:r>
      <w:proofErr w:type="spellStart"/>
      <w:r w:rsidRPr="006E2802">
        <w:rPr>
          <w:sz w:val="28"/>
          <w:szCs w:val="28"/>
          <w:lang w:val="uk-UA"/>
        </w:rPr>
        <w:t>ють</w:t>
      </w:r>
      <w:proofErr w:type="spellEnd"/>
      <w:r w:rsidRPr="006E2802">
        <w:rPr>
          <w:sz w:val="28"/>
          <w:szCs w:val="28"/>
          <w:lang w:val="uk-UA"/>
        </w:rPr>
        <w:t>) статус Заявника як суб’єкта управління або утримання БКБ;</w:t>
      </w:r>
    </w:p>
    <w:p w14:paraId="17689109"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Належним чином завірені копії документів, що підтверджують придбання генератора (рахунок, накладна, акт приймання-передачі, платіжний документ та/або інші документи);</w:t>
      </w:r>
    </w:p>
    <w:p w14:paraId="2190CC1B"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Паспорт/технічний паспорт генератора та копія гарантійного талона (за наявності);</w:t>
      </w:r>
    </w:p>
    <w:p w14:paraId="4AF2E660"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 xml:space="preserve">Документ(и), що підтверджують встановлення, монтаж, </w:t>
      </w:r>
      <w:proofErr w:type="spellStart"/>
      <w:r w:rsidRPr="006E2802">
        <w:rPr>
          <w:sz w:val="28"/>
          <w:szCs w:val="28"/>
          <w:lang w:val="uk-UA"/>
        </w:rPr>
        <w:t>пусконалагодження</w:t>
      </w:r>
      <w:proofErr w:type="spellEnd"/>
      <w:r w:rsidRPr="006E2802">
        <w:rPr>
          <w:sz w:val="28"/>
          <w:szCs w:val="28"/>
          <w:lang w:val="uk-UA"/>
        </w:rPr>
        <w:t xml:space="preserve"> генератора (у разі виконання таких робіт та/або оформлення актів), або інший документ щодо готовності генератора до використання; додатково може подаватися фотофіксація встановлення (за наявності).</w:t>
      </w:r>
    </w:p>
    <w:p w14:paraId="637CBE0D"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 xml:space="preserve">Забезпечується можливість подання заяви та отримання результату послуги в електронній формі через </w:t>
      </w:r>
      <w:proofErr w:type="spellStart"/>
      <w:r w:rsidRPr="006E2802">
        <w:rPr>
          <w:sz w:val="28"/>
          <w:szCs w:val="28"/>
          <w:lang w:val="uk-UA"/>
        </w:rPr>
        <w:t>вебпортали</w:t>
      </w:r>
      <w:proofErr w:type="spellEnd"/>
      <w:r w:rsidRPr="006E2802">
        <w:rPr>
          <w:sz w:val="28"/>
          <w:szCs w:val="28"/>
          <w:lang w:val="uk-UA"/>
        </w:rPr>
        <w:t xml:space="preserve"> електронних послуг та інформаційно-комунікаційні системи.</w:t>
      </w:r>
    </w:p>
    <w:p w14:paraId="4393D602"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Місця подачі здійснюють прийняття та реєстрацію поданих документів та передають зареєстрований пакет документів до районної державної адміністрації за територіальністю (далі — РДА) для подальшого опрацювання та розгляду Комісією РДА.</w:t>
      </w:r>
    </w:p>
    <w:p w14:paraId="1985EA0A"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3.6. Розгляд поданих документів та прийняття рішення щодо наявності права на Відшкодування здійснюється комісією, утвореною при відповідній РДА (далі — Комісія РДА).</w:t>
      </w:r>
    </w:p>
    <w:p w14:paraId="417036E8"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lastRenderedPageBreak/>
        <w:t>До складу Комісії РДА включаються, зокрема, заступники голів територіальних громад та керівники структурних підрозділів територіальних громад, відповідальні за напрям житлово-комунального господарства (ЖКХ).</w:t>
      </w:r>
    </w:p>
    <w:p w14:paraId="08F741BE"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Погодження зведеного переліку Заявників, сформованого на підставі списків, поданих РДА, здійснюється Комісією, яка створена головою обласної державної адміністрації — начальником обласної військової адміністрації (далі — Комісія).</w:t>
      </w:r>
    </w:p>
    <w:p w14:paraId="10A1D93D"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3.7. За результатами розгляду Комісією РДА:</w:t>
      </w:r>
    </w:p>
    <w:p w14:paraId="2C17AA04"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формується список юридичних осіб, які мають право на Відшкодування, із реквізитами, необхідними для включення до Зведеного реєстру;</w:t>
      </w:r>
    </w:p>
    <w:p w14:paraId="22E21F6A"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список подається до обласної державної адміністрації (обласної військової адміністрації) для подальшого опрацювання Головним розпорядником коштів.</w:t>
      </w:r>
    </w:p>
    <w:p w14:paraId="57DBF5AE"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Формування Зведеного реєстру на підставі списків, поданих РДА, здійснюється Головним розпорядником коштів, після чого Зведений реєстр/перелік подається на погодження Комісії.</w:t>
      </w:r>
    </w:p>
    <w:p w14:paraId="2C6CFBB0"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3.8. Комісія РДА проводить засідання та шляхом голосування більшістю голосів приймає рішення щодо:</w:t>
      </w:r>
    </w:p>
    <w:p w14:paraId="6C0062DB"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включення юридичної особи до списку осіб, які мають право на Відшкодування або відмови у включенні до такого списку із зазначенням підстав.</w:t>
      </w:r>
    </w:p>
    <w:p w14:paraId="65DD562E"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Комісія проводить засідання та шляхом голосування більшістю голосів приймає рішення щодо погодження зведеного переліку юридичних осіб, яким буде надано Відшкодування, сформованого Головним розпорядником коштів на підставі списків РДА.</w:t>
      </w:r>
    </w:p>
    <w:p w14:paraId="77400ED4"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Строк розгляду заяви та прийняття рішення Комісією РДА не перевищує 10 робочих днів з дати реєстрації заяви у місці подачі.</w:t>
      </w:r>
    </w:p>
    <w:p w14:paraId="6F85DF56"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Підставами для відмови у наданні Відшкодування є:</w:t>
      </w:r>
    </w:p>
    <w:p w14:paraId="7DD5DE0D"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подання неповного пакета документів;</w:t>
      </w:r>
    </w:p>
    <w:p w14:paraId="10B483A6"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невідповідність Заявника вимогам цього Порядку;</w:t>
      </w:r>
    </w:p>
    <w:p w14:paraId="782B3292"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відсутність первинних документів, що підтверджують придбання (оплату та поставку/передачу) генератора;</w:t>
      </w:r>
    </w:p>
    <w:p w14:paraId="2C3FFEE1"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подання недостовірних відомостей;</w:t>
      </w:r>
    </w:p>
    <w:p w14:paraId="2E21D0AF"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отримання Відшкодування за цим Порядком раніше.</w:t>
      </w:r>
    </w:p>
    <w:p w14:paraId="624FA655"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Рішення Комісії РДА та рішення Комісії оформлюються протоколами.</w:t>
      </w:r>
    </w:p>
    <w:p w14:paraId="24AD0623"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3.9. За повноту і достовірність відомостей у поданих документах відповідає Заявник.</w:t>
      </w:r>
    </w:p>
    <w:p w14:paraId="1CD13ED7"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3.10. Відшкодування здійснюватиметься за рахунок коштів обласного бюджету у межах наявних бюджетних призначень.</w:t>
      </w:r>
    </w:p>
    <w:p w14:paraId="22647495"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Відшкодування нараховується виключно на суму прийнятних витрат.</w:t>
      </w:r>
    </w:p>
    <w:p w14:paraId="02D92DA2"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3.11. Заявник позбавляється права на Відшкодування у разі виявлення порушення вимог цього Порядку або надання недостовірної інформації. У такому разі Заявник зобов’язаний повернути отриману суму Відшкодування.</w:t>
      </w:r>
    </w:p>
    <w:p w14:paraId="60B8477D"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 xml:space="preserve">3.12. Відшкодування здійснюється Головним розпорядником коштів щомісяця до 25 числа на вказаний Заявником рахунок на підставі погодженого </w:t>
      </w:r>
      <w:r w:rsidRPr="006E2802">
        <w:rPr>
          <w:sz w:val="28"/>
          <w:szCs w:val="28"/>
          <w:lang w:val="uk-UA"/>
        </w:rPr>
        <w:lastRenderedPageBreak/>
        <w:t>Комісією зведеного переліку (Зведеного реєстру), сформованого Головним розпорядником коштів.</w:t>
      </w:r>
    </w:p>
    <w:p w14:paraId="189B63A0"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3.13. Якщо сума коштів на Відшкодування перевищує обсяг фінансування, кошти надаються у порядку черговості надходження та реєстрації заяв у місці подачі.</w:t>
      </w:r>
    </w:p>
    <w:p w14:paraId="1C49BA1C"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3.14 Розгляд заяв та включення до списків, а також надання Відшкодування здійснюються у порядку черговості, визначеному пунктом 3.13 цього Порядку.</w:t>
      </w:r>
    </w:p>
    <w:p w14:paraId="53757480" w14:textId="77777777" w:rsidR="006E2802" w:rsidRPr="006E2802" w:rsidRDefault="006E2802" w:rsidP="006E2802">
      <w:pPr>
        <w:pStyle w:val="ac"/>
        <w:spacing w:before="0" w:after="0"/>
        <w:ind w:firstLine="851"/>
        <w:jc w:val="both"/>
        <w:rPr>
          <w:sz w:val="28"/>
          <w:szCs w:val="28"/>
          <w:lang w:val="uk-UA"/>
        </w:rPr>
      </w:pPr>
      <w:r w:rsidRPr="006E2802">
        <w:rPr>
          <w:sz w:val="28"/>
          <w:szCs w:val="28"/>
          <w:lang w:val="uk-UA"/>
        </w:rPr>
        <w:t>5. Складання та подання фінансової звітності про використання бюджетних коштів здійснюється в установленому законодавством порядку.</w:t>
      </w:r>
    </w:p>
    <w:p w14:paraId="5C033268" w14:textId="77777777" w:rsidR="006E2802" w:rsidRPr="006E2802" w:rsidRDefault="006E2802" w:rsidP="006E2802">
      <w:pPr>
        <w:suppressAutoHyphens w:val="0"/>
        <w:spacing w:after="0" w:line="240" w:lineRule="auto"/>
        <w:ind w:firstLine="851"/>
        <w:jc w:val="both"/>
        <w:rPr>
          <w:rFonts w:ascii="Times New Roman" w:hAnsi="Times New Roman" w:cs="Times New Roman"/>
          <w:bCs/>
          <w:sz w:val="28"/>
          <w:szCs w:val="28"/>
        </w:rPr>
      </w:pPr>
    </w:p>
    <w:p w14:paraId="7D381AF7" w14:textId="77777777" w:rsidR="00AB6866" w:rsidRPr="006E2802" w:rsidRDefault="00AB6866"/>
    <w:sectPr w:rsidR="00AB6866" w:rsidRPr="006E2802" w:rsidSect="006E2802">
      <w:headerReference w:type="default" r:id="rId6"/>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ED6A" w14:textId="77777777" w:rsidR="00A815E3" w:rsidRDefault="00A815E3" w:rsidP="006E2802">
      <w:pPr>
        <w:spacing w:after="0" w:line="240" w:lineRule="auto"/>
      </w:pPr>
      <w:r>
        <w:separator/>
      </w:r>
    </w:p>
  </w:endnote>
  <w:endnote w:type="continuationSeparator" w:id="0">
    <w:p w14:paraId="72113727" w14:textId="77777777" w:rsidR="00A815E3" w:rsidRDefault="00A815E3" w:rsidP="006E2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E5249" w14:textId="77777777" w:rsidR="00A815E3" w:rsidRDefault="00A815E3" w:rsidP="006E2802">
      <w:pPr>
        <w:spacing w:after="0" w:line="240" w:lineRule="auto"/>
      </w:pPr>
      <w:r>
        <w:separator/>
      </w:r>
    </w:p>
  </w:footnote>
  <w:footnote w:type="continuationSeparator" w:id="0">
    <w:p w14:paraId="1C1CC18E" w14:textId="77777777" w:rsidR="00A815E3" w:rsidRDefault="00A815E3" w:rsidP="006E2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543656"/>
      <w:docPartObj>
        <w:docPartGallery w:val="Page Numbers (Top of Page)"/>
        <w:docPartUnique/>
      </w:docPartObj>
    </w:sdtPr>
    <w:sdtContent>
      <w:p w14:paraId="6A780BB0" w14:textId="3C6D4BDB" w:rsidR="006E2802" w:rsidRDefault="006E2802">
        <w:pPr>
          <w:pStyle w:val="ad"/>
          <w:jc w:val="center"/>
        </w:pPr>
        <w:r>
          <w:fldChar w:fldCharType="begin"/>
        </w:r>
        <w:r>
          <w:instrText>PAGE   \* MERGEFORMAT</w:instrText>
        </w:r>
        <w:r>
          <w:fldChar w:fldCharType="separate"/>
        </w:r>
        <w:r>
          <w:rPr>
            <w:lang w:val="ru-RU"/>
          </w:rPr>
          <w:t>2</w:t>
        </w:r>
        <w:r>
          <w:fldChar w:fldCharType="end"/>
        </w:r>
      </w:p>
    </w:sdtContent>
  </w:sdt>
  <w:p w14:paraId="30CFF5B9" w14:textId="77777777" w:rsidR="006E2802" w:rsidRDefault="006E2802">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02"/>
    <w:rsid w:val="000E3105"/>
    <w:rsid w:val="00162701"/>
    <w:rsid w:val="001A1A96"/>
    <w:rsid w:val="00333D7D"/>
    <w:rsid w:val="003512DA"/>
    <w:rsid w:val="004A0B27"/>
    <w:rsid w:val="00652894"/>
    <w:rsid w:val="006E2802"/>
    <w:rsid w:val="00842275"/>
    <w:rsid w:val="00A815E3"/>
    <w:rsid w:val="00AB6866"/>
    <w:rsid w:val="00B1759E"/>
    <w:rsid w:val="00E560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14550"/>
  <w15:chartTrackingRefBased/>
  <w15:docId w15:val="{BD395E28-8744-4CBD-AF72-8B67CB6A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802"/>
    <w:pPr>
      <w:suppressAutoHyphens/>
      <w:spacing w:after="200" w:line="276" w:lineRule="auto"/>
    </w:pPr>
    <w:rPr>
      <w:rFonts w:ascii="Calibri" w:hAnsi="Calibri" w:cs="Calibri"/>
      <w:kern w:val="0"/>
      <w:lang w:eastAsia="zh-CN"/>
    </w:rPr>
  </w:style>
  <w:style w:type="paragraph" w:styleId="1">
    <w:name w:val="heading 1"/>
    <w:basedOn w:val="a"/>
    <w:next w:val="a"/>
    <w:link w:val="10"/>
    <w:uiPriority w:val="9"/>
    <w:qFormat/>
    <w:rsid w:val="006E28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E28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E280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6E28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E280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E28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E280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E280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E280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2802"/>
    <w:rPr>
      <w:rFonts w:asciiTheme="majorHAnsi" w:eastAsiaTheme="majorEastAsia" w:hAnsiTheme="majorHAnsi" w:cstheme="majorBidi"/>
      <w:color w:val="2F5496" w:themeColor="accent1" w:themeShade="BF"/>
      <w:kern w:val="0"/>
      <w:sz w:val="40"/>
      <w:szCs w:val="40"/>
    </w:rPr>
  </w:style>
  <w:style w:type="character" w:customStyle="1" w:styleId="20">
    <w:name w:val="Заголовок 2 Знак"/>
    <w:basedOn w:val="a0"/>
    <w:link w:val="2"/>
    <w:uiPriority w:val="9"/>
    <w:semiHidden/>
    <w:rsid w:val="006E2802"/>
    <w:rPr>
      <w:rFonts w:asciiTheme="majorHAnsi" w:eastAsiaTheme="majorEastAsia" w:hAnsiTheme="majorHAnsi" w:cstheme="majorBidi"/>
      <w:color w:val="2F5496" w:themeColor="accent1" w:themeShade="BF"/>
      <w:kern w:val="0"/>
      <w:sz w:val="32"/>
      <w:szCs w:val="32"/>
    </w:rPr>
  </w:style>
  <w:style w:type="character" w:customStyle="1" w:styleId="30">
    <w:name w:val="Заголовок 3 Знак"/>
    <w:basedOn w:val="a0"/>
    <w:link w:val="3"/>
    <w:uiPriority w:val="9"/>
    <w:semiHidden/>
    <w:rsid w:val="006E2802"/>
    <w:rPr>
      <w:rFonts w:eastAsiaTheme="majorEastAsia" w:cstheme="majorBidi"/>
      <w:color w:val="2F5496" w:themeColor="accent1" w:themeShade="BF"/>
      <w:kern w:val="0"/>
      <w:sz w:val="28"/>
      <w:szCs w:val="28"/>
    </w:rPr>
  </w:style>
  <w:style w:type="character" w:customStyle="1" w:styleId="40">
    <w:name w:val="Заголовок 4 Знак"/>
    <w:basedOn w:val="a0"/>
    <w:link w:val="4"/>
    <w:uiPriority w:val="9"/>
    <w:semiHidden/>
    <w:rsid w:val="006E2802"/>
    <w:rPr>
      <w:rFonts w:eastAsiaTheme="majorEastAsia" w:cstheme="majorBidi"/>
      <w:i/>
      <w:iCs/>
      <w:color w:val="2F5496" w:themeColor="accent1" w:themeShade="BF"/>
      <w:kern w:val="0"/>
      <w:sz w:val="28"/>
    </w:rPr>
  </w:style>
  <w:style w:type="character" w:customStyle="1" w:styleId="50">
    <w:name w:val="Заголовок 5 Знак"/>
    <w:basedOn w:val="a0"/>
    <w:link w:val="5"/>
    <w:uiPriority w:val="9"/>
    <w:semiHidden/>
    <w:rsid w:val="006E2802"/>
    <w:rPr>
      <w:rFonts w:eastAsiaTheme="majorEastAsia" w:cstheme="majorBidi"/>
      <w:color w:val="2F5496" w:themeColor="accent1" w:themeShade="BF"/>
      <w:kern w:val="0"/>
      <w:sz w:val="28"/>
    </w:rPr>
  </w:style>
  <w:style w:type="character" w:customStyle="1" w:styleId="60">
    <w:name w:val="Заголовок 6 Знак"/>
    <w:basedOn w:val="a0"/>
    <w:link w:val="6"/>
    <w:uiPriority w:val="9"/>
    <w:semiHidden/>
    <w:rsid w:val="006E2802"/>
    <w:rPr>
      <w:rFonts w:eastAsiaTheme="majorEastAsia" w:cstheme="majorBidi"/>
      <w:i/>
      <w:iCs/>
      <w:color w:val="595959" w:themeColor="text1" w:themeTint="A6"/>
      <w:kern w:val="0"/>
      <w:sz w:val="28"/>
    </w:rPr>
  </w:style>
  <w:style w:type="character" w:customStyle="1" w:styleId="70">
    <w:name w:val="Заголовок 7 Знак"/>
    <w:basedOn w:val="a0"/>
    <w:link w:val="7"/>
    <w:uiPriority w:val="9"/>
    <w:semiHidden/>
    <w:rsid w:val="006E2802"/>
    <w:rPr>
      <w:rFonts w:eastAsiaTheme="majorEastAsia" w:cstheme="majorBidi"/>
      <w:color w:val="595959" w:themeColor="text1" w:themeTint="A6"/>
      <w:kern w:val="0"/>
      <w:sz w:val="28"/>
    </w:rPr>
  </w:style>
  <w:style w:type="character" w:customStyle="1" w:styleId="80">
    <w:name w:val="Заголовок 8 Знак"/>
    <w:basedOn w:val="a0"/>
    <w:link w:val="8"/>
    <w:uiPriority w:val="9"/>
    <w:semiHidden/>
    <w:rsid w:val="006E2802"/>
    <w:rPr>
      <w:rFonts w:eastAsiaTheme="majorEastAsia" w:cstheme="majorBidi"/>
      <w:i/>
      <w:iCs/>
      <w:color w:val="272727" w:themeColor="text1" w:themeTint="D8"/>
      <w:kern w:val="0"/>
      <w:sz w:val="28"/>
    </w:rPr>
  </w:style>
  <w:style w:type="character" w:customStyle="1" w:styleId="90">
    <w:name w:val="Заголовок 9 Знак"/>
    <w:basedOn w:val="a0"/>
    <w:link w:val="9"/>
    <w:uiPriority w:val="9"/>
    <w:semiHidden/>
    <w:rsid w:val="006E2802"/>
    <w:rPr>
      <w:rFonts w:eastAsiaTheme="majorEastAsia" w:cstheme="majorBidi"/>
      <w:color w:val="272727" w:themeColor="text1" w:themeTint="D8"/>
      <w:kern w:val="0"/>
      <w:sz w:val="28"/>
    </w:rPr>
  </w:style>
  <w:style w:type="paragraph" w:styleId="a3">
    <w:name w:val="Title"/>
    <w:basedOn w:val="a"/>
    <w:next w:val="a"/>
    <w:link w:val="a4"/>
    <w:uiPriority w:val="10"/>
    <w:qFormat/>
    <w:rsid w:val="006E2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E28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80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E2802"/>
    <w:rPr>
      <w:rFonts w:eastAsiaTheme="majorEastAsia" w:cstheme="majorBidi"/>
      <w:color w:val="595959" w:themeColor="text1" w:themeTint="A6"/>
      <w:spacing w:val="15"/>
      <w:kern w:val="0"/>
      <w:sz w:val="28"/>
      <w:szCs w:val="28"/>
    </w:rPr>
  </w:style>
  <w:style w:type="paragraph" w:styleId="21">
    <w:name w:val="Quote"/>
    <w:basedOn w:val="a"/>
    <w:next w:val="a"/>
    <w:link w:val="22"/>
    <w:uiPriority w:val="29"/>
    <w:qFormat/>
    <w:rsid w:val="006E2802"/>
    <w:pPr>
      <w:spacing w:before="160" w:after="160"/>
      <w:jc w:val="center"/>
    </w:pPr>
    <w:rPr>
      <w:i/>
      <w:iCs/>
      <w:color w:val="404040" w:themeColor="text1" w:themeTint="BF"/>
    </w:rPr>
  </w:style>
  <w:style w:type="character" w:customStyle="1" w:styleId="22">
    <w:name w:val="Цитата 2 Знак"/>
    <w:basedOn w:val="a0"/>
    <w:link w:val="21"/>
    <w:uiPriority w:val="29"/>
    <w:rsid w:val="006E2802"/>
    <w:rPr>
      <w:rFonts w:ascii="Times New Roman" w:hAnsi="Times New Roman" w:cs="Times New Roman"/>
      <w:i/>
      <w:iCs/>
      <w:color w:val="404040" w:themeColor="text1" w:themeTint="BF"/>
      <w:kern w:val="0"/>
      <w:sz w:val="28"/>
    </w:rPr>
  </w:style>
  <w:style w:type="paragraph" w:styleId="a7">
    <w:name w:val="List Paragraph"/>
    <w:basedOn w:val="a"/>
    <w:uiPriority w:val="34"/>
    <w:qFormat/>
    <w:rsid w:val="006E2802"/>
    <w:pPr>
      <w:ind w:left="720"/>
      <w:contextualSpacing/>
    </w:pPr>
  </w:style>
  <w:style w:type="character" w:styleId="a8">
    <w:name w:val="Intense Emphasis"/>
    <w:basedOn w:val="a0"/>
    <w:uiPriority w:val="21"/>
    <w:qFormat/>
    <w:rsid w:val="006E2802"/>
    <w:rPr>
      <w:i/>
      <w:iCs/>
      <w:color w:val="2F5496" w:themeColor="accent1" w:themeShade="BF"/>
    </w:rPr>
  </w:style>
  <w:style w:type="paragraph" w:styleId="a9">
    <w:name w:val="Intense Quote"/>
    <w:basedOn w:val="a"/>
    <w:next w:val="a"/>
    <w:link w:val="aa"/>
    <w:uiPriority w:val="30"/>
    <w:qFormat/>
    <w:rsid w:val="006E2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E2802"/>
    <w:rPr>
      <w:rFonts w:ascii="Times New Roman" w:hAnsi="Times New Roman" w:cs="Times New Roman"/>
      <w:i/>
      <w:iCs/>
      <w:color w:val="2F5496" w:themeColor="accent1" w:themeShade="BF"/>
      <w:kern w:val="0"/>
      <w:sz w:val="28"/>
    </w:rPr>
  </w:style>
  <w:style w:type="character" w:styleId="ab">
    <w:name w:val="Intense Reference"/>
    <w:basedOn w:val="a0"/>
    <w:uiPriority w:val="32"/>
    <w:qFormat/>
    <w:rsid w:val="006E2802"/>
    <w:rPr>
      <w:b/>
      <w:bCs/>
      <w:smallCaps/>
      <w:color w:val="2F5496" w:themeColor="accent1" w:themeShade="BF"/>
      <w:spacing w:val="5"/>
    </w:rPr>
  </w:style>
  <w:style w:type="paragraph" w:styleId="ac">
    <w:name w:val="Normal (Web)"/>
    <w:basedOn w:val="a"/>
    <w:uiPriority w:val="99"/>
    <w:rsid w:val="006E2802"/>
    <w:pPr>
      <w:spacing w:before="280" w:after="280" w:line="240" w:lineRule="auto"/>
    </w:pPr>
    <w:rPr>
      <w:rFonts w:ascii="Times New Roman" w:eastAsia="Times New Roman" w:hAnsi="Times New Roman" w:cs="Times New Roman"/>
      <w:sz w:val="24"/>
      <w:szCs w:val="24"/>
      <w:lang w:val="ru-RU"/>
    </w:rPr>
  </w:style>
  <w:style w:type="paragraph" w:styleId="ad">
    <w:name w:val="header"/>
    <w:basedOn w:val="a"/>
    <w:link w:val="ae"/>
    <w:uiPriority w:val="99"/>
    <w:unhideWhenUsed/>
    <w:rsid w:val="006E2802"/>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6E2802"/>
    <w:rPr>
      <w:rFonts w:ascii="Calibri" w:hAnsi="Calibri" w:cs="Calibri"/>
      <w:kern w:val="0"/>
      <w:lang w:eastAsia="zh-CN"/>
    </w:rPr>
  </w:style>
  <w:style w:type="paragraph" w:styleId="af">
    <w:name w:val="footer"/>
    <w:basedOn w:val="a"/>
    <w:link w:val="af0"/>
    <w:uiPriority w:val="99"/>
    <w:unhideWhenUsed/>
    <w:rsid w:val="006E2802"/>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6E2802"/>
    <w:rPr>
      <w:rFonts w:ascii="Calibri" w:hAnsi="Calibri" w:cs="Calibri"/>
      <w:kern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5135</Words>
  <Characters>2928</Characters>
  <Application>Microsoft Office Word</Application>
  <DocSecurity>0</DocSecurity>
  <Lines>24</Lines>
  <Paragraphs>16</Paragraphs>
  <ScaleCrop>false</ScaleCrop>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Mykhailo Kipenko</dc:creator>
  <cp:keywords/>
  <dc:description/>
  <cp:lastModifiedBy>Mykhailo Kipenko</cp:lastModifiedBy>
  <cp:revision>1</cp:revision>
  <dcterms:created xsi:type="dcterms:W3CDTF">2026-03-09T10:33:00Z</dcterms:created>
  <dcterms:modified xsi:type="dcterms:W3CDTF">2026-03-09T10:34:00Z</dcterms:modified>
</cp:coreProperties>
</file>